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6C" w:rsidRP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9674F4" w:rsidRDefault="00F85C74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мін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F71B78" w:rsidRDefault="00F71B78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5A6C" w:rsidRPr="009674F4" w:rsidRDefault="00615A6C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E560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5891,7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456B2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27650,6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2022 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6965,0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з Договором з НСЗУ по пакету медичних послуг  «Вакцинація від гострої респіраторної хвороби COVID -19, спричиненої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 дохі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дна частина на 2022 рік </w:t>
      </w:r>
      <w:r w:rsidR="00814C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становить  685,6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DC69C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 підтримки»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(додатково виділені ко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шти з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місцевого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бюджету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). За програм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ою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розвитку та фінансової підтримки</w:t>
      </w:r>
      <w:r w:rsidR="000A66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202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>ці</w:t>
      </w:r>
      <w:proofErr w:type="spellEnd"/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E5601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6115,0 тис. грн.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2022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F65C1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1114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,0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07C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34,9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16,9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18,0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296068" w:rsidRDefault="0029606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lastRenderedPageBreak/>
        <w:t xml:space="preserve">Рядок 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500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від інвестиційної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- 50,0 тис грн., 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а саме</w:t>
      </w:r>
    </w:p>
    <w:p w:rsidR="00A07C81" w:rsidRPr="0026638B" w:rsidRDefault="0029606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4E48C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501 «Доходи з місцевого бюджету цільового фінансування по капітальних видатках»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2022 рік </w:t>
      </w:r>
      <w:r w:rsidR="00864B1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становить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50тис. грн.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864B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(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згідно рішення </w:t>
      </w:r>
      <w:r w:rsidR="00864B1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виконавчого комітету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від 25.08.2022р.  №223</w:t>
      </w:r>
      <w:r w:rsidR="001833F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  <w:r w:rsidR="00864B1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2022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4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842,2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F65C16" w:rsidRPr="00C77E4F" w:rsidRDefault="006B0152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8139A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2021</w:t>
      </w:r>
      <w:r w:rsidR="00D153DF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623,8</w:t>
      </w:r>
      <w:r w:rsidR="0006312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353,2 тис. грн. по пакету «Первинна медична допомога»;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263,1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«Вакцинація від гострої респіраторної хвороби COVID -19, спричиненої </w:t>
      </w:r>
      <w:proofErr w:type="spellStart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;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7,5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«Медична допомога, яка надається мобільними медичними бригадами, що утворені для реагування на гостру респіраторну хворобу COVID -19, спричинену корона вірусом SARS-CoV-2»</w:t>
      </w:r>
      <w:r w:rsidR="00C77E4F" w:rsidRP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6B0152" w:rsidRDefault="006B0152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кошти отримані від продажу автомобіля </w:t>
      </w:r>
      <w:r w:rsidR="00AA183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1C63EA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отримані від наданих послуг 35,4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063126" w:rsidRDefault="00557EAC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 отримані від страхової компанії 130,0 тис. грн.</w:t>
      </w:r>
    </w:p>
    <w:p w:rsidR="0051304D" w:rsidRPr="00E5601E" w:rsidRDefault="00DF7F6A" w:rsidP="00E5601E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Збільшення дохідної частини по «Інших надходженнях» у ІІІ кварталі  в сумі 45,0 тис</w:t>
      </w:r>
      <w:r w:rsidR="00DC69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грн</w:t>
      </w:r>
      <w:r w:rsidR="00DC69C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відбулось згідно договору від 01.08.2022р. благодійного гранту на реалізацію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UNICEF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«Посилення реагування на надзвичайні ситуації шляхом розбудови потенціалу національних органів влади, місцевих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гроиад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, організацій громадянського суспільства та медичних працівників»</w:t>
      </w:r>
    </w:p>
    <w:p w:rsidR="00F71B78" w:rsidRDefault="00E5601E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   </w:t>
      </w:r>
    </w:p>
    <w:p w:rsidR="00615A6C" w:rsidRPr="009674F4" w:rsidRDefault="00E5601E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F71B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35891,7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DC69C5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71B7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3206,3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DC69C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(зменшення відбулося через перенесення 250,0 тис. грн по місцевому бюджету на оплату заробітної плати</w:t>
      </w:r>
      <w:r w:rsidR="0073271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рішенням Виконавчого комітету)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lastRenderedPageBreak/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1949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тому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1308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615A6C" w:rsidRPr="000004B2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3702,</w:t>
      </w:r>
      <w:proofErr w:type="gramStart"/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73271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</w:t>
      </w:r>
      <w:r w:rsid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на 245,8</w:t>
      </w:r>
      <w:r w:rsidR="0073271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  <w:r w:rsid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, з них 229,0 тис. грн за рахунок перенесення коштів по місцевому бюджеті та 16,8 тис. грн. згідно договору благодійного гранту не реалізацію проекту </w:t>
      </w:r>
      <w:r w:rsidR="00310772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UNICEF</w:t>
      </w:r>
      <w:r w:rsid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від 01.08.2022р.</w:t>
      </w:r>
      <w:r w:rsidR="0073271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</w:p>
    <w:p w:rsidR="00615A6C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5048,0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  <w:r w:rsidR="00310772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</w:t>
      </w:r>
      <w:r w:rsid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збільшення на 25,7</w:t>
      </w:r>
      <w:r w:rsidR="00310772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грн., з них</w:t>
      </w:r>
      <w:r w:rsid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21</w:t>
      </w:r>
      <w:r w:rsidR="00310772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 тис. грн за рахунок перенесення коштів по місцевому бюджеті</w:t>
      </w:r>
      <w:r w:rsid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та 4,7</w:t>
      </w:r>
      <w:r w:rsidR="00310772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 згідно договору благодійного гранту не реалізацію проекту </w:t>
      </w:r>
      <w:r w:rsidR="00310772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UNICEF</w:t>
      </w:r>
      <w:r w:rsid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від 01.08.2022р.</w:t>
      </w:r>
      <w:r w:rsidR="00310772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</w:p>
    <w:p w:rsidR="00294790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520,0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71B7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5165,3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грн.;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23702,</w:t>
      </w:r>
      <w:proofErr w:type="gramStart"/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грн.;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4E48C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5048,0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0004B2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605,0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</w:p>
    <w:p w:rsidR="00F71B78" w:rsidRDefault="00F71B7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:rsidR="00615A6C" w:rsidRPr="005843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lastRenderedPageBreak/>
        <w:t>Капітальні видатки складаються з:</w:t>
      </w:r>
    </w:p>
    <w:p w:rsidR="0058436C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58436C" w:rsidRPr="0058436C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126,5 тис. грн.,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5843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(збільшення на 23,5 тис. грн</w:t>
      </w:r>
      <w:r w:rsidR="00CB376D" w:rsidRPr="005843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5843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згідно договору благодійного гранту не реалізацію проекту </w:t>
      </w:r>
      <w:r w:rsidRPr="0058436C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UNICEF</w:t>
      </w:r>
      <w:r w:rsidRPr="005843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від 01.08.2022р.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5843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</w:p>
    <w:p w:rsidR="009674F4" w:rsidRDefault="004F4B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516</w:t>
      </w:r>
      <w:r w:rsidR="00E51A14"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Капітальний ремонт</w:t>
      </w: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–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130,0</w:t>
      </w:r>
      <w:r w:rsidRPr="0058436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 грн. </w:t>
      </w:r>
    </w:p>
    <w:p w:rsidR="00E51A14" w:rsidRDefault="00E51A1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63126"/>
    <w:rsid w:val="0009352F"/>
    <w:rsid w:val="000A535B"/>
    <w:rsid w:val="000A66BC"/>
    <w:rsid w:val="000B603F"/>
    <w:rsid w:val="000F3946"/>
    <w:rsid w:val="00150F82"/>
    <w:rsid w:val="001833F5"/>
    <w:rsid w:val="001C63EA"/>
    <w:rsid w:val="001E5746"/>
    <w:rsid w:val="0026638B"/>
    <w:rsid w:val="00267801"/>
    <w:rsid w:val="00274307"/>
    <w:rsid w:val="00294790"/>
    <w:rsid w:val="00296068"/>
    <w:rsid w:val="00304195"/>
    <w:rsid w:val="00310772"/>
    <w:rsid w:val="00324670"/>
    <w:rsid w:val="00356E1B"/>
    <w:rsid w:val="003B0755"/>
    <w:rsid w:val="003C0F69"/>
    <w:rsid w:val="00401B5F"/>
    <w:rsid w:val="00406EF8"/>
    <w:rsid w:val="004323BD"/>
    <w:rsid w:val="00456B2F"/>
    <w:rsid w:val="00457435"/>
    <w:rsid w:val="004E48CD"/>
    <w:rsid w:val="004F4BA8"/>
    <w:rsid w:val="0051304D"/>
    <w:rsid w:val="005267D8"/>
    <w:rsid w:val="00546938"/>
    <w:rsid w:val="00557EAC"/>
    <w:rsid w:val="0058436C"/>
    <w:rsid w:val="00590F68"/>
    <w:rsid w:val="005A43BD"/>
    <w:rsid w:val="00615A6C"/>
    <w:rsid w:val="00653A05"/>
    <w:rsid w:val="006543C3"/>
    <w:rsid w:val="006A35AE"/>
    <w:rsid w:val="006B0152"/>
    <w:rsid w:val="006C7F9E"/>
    <w:rsid w:val="00700534"/>
    <w:rsid w:val="00726C8C"/>
    <w:rsid w:val="00732713"/>
    <w:rsid w:val="00744ECE"/>
    <w:rsid w:val="00750AE5"/>
    <w:rsid w:val="00751AB4"/>
    <w:rsid w:val="00772DA8"/>
    <w:rsid w:val="00783342"/>
    <w:rsid w:val="00783771"/>
    <w:rsid w:val="007C7E6C"/>
    <w:rsid w:val="008139A4"/>
    <w:rsid w:val="00814CDE"/>
    <w:rsid w:val="00823981"/>
    <w:rsid w:val="00864B18"/>
    <w:rsid w:val="00867E7A"/>
    <w:rsid w:val="008831E2"/>
    <w:rsid w:val="00886907"/>
    <w:rsid w:val="008A4269"/>
    <w:rsid w:val="008B0BF8"/>
    <w:rsid w:val="00901C36"/>
    <w:rsid w:val="00932FAC"/>
    <w:rsid w:val="009674F4"/>
    <w:rsid w:val="009B37FB"/>
    <w:rsid w:val="009D1EB0"/>
    <w:rsid w:val="009E3B38"/>
    <w:rsid w:val="009F4901"/>
    <w:rsid w:val="00A0143C"/>
    <w:rsid w:val="00A07C81"/>
    <w:rsid w:val="00A44CF9"/>
    <w:rsid w:val="00A63E19"/>
    <w:rsid w:val="00A814A7"/>
    <w:rsid w:val="00AA1836"/>
    <w:rsid w:val="00AE1D33"/>
    <w:rsid w:val="00BC0611"/>
    <w:rsid w:val="00C417A4"/>
    <w:rsid w:val="00C60225"/>
    <w:rsid w:val="00C77E4F"/>
    <w:rsid w:val="00CB0080"/>
    <w:rsid w:val="00CB376D"/>
    <w:rsid w:val="00CF1D60"/>
    <w:rsid w:val="00D153DF"/>
    <w:rsid w:val="00D43E72"/>
    <w:rsid w:val="00D466BB"/>
    <w:rsid w:val="00D87E0F"/>
    <w:rsid w:val="00DA2B53"/>
    <w:rsid w:val="00DC44E2"/>
    <w:rsid w:val="00DC69C5"/>
    <w:rsid w:val="00DF469C"/>
    <w:rsid w:val="00DF7F6A"/>
    <w:rsid w:val="00E344D8"/>
    <w:rsid w:val="00E367AC"/>
    <w:rsid w:val="00E51A14"/>
    <w:rsid w:val="00E530D0"/>
    <w:rsid w:val="00E5601E"/>
    <w:rsid w:val="00E61638"/>
    <w:rsid w:val="00E64D50"/>
    <w:rsid w:val="00E76CD0"/>
    <w:rsid w:val="00F17373"/>
    <w:rsid w:val="00F65C16"/>
    <w:rsid w:val="00F71B78"/>
    <w:rsid w:val="00F85C50"/>
    <w:rsid w:val="00F85C74"/>
    <w:rsid w:val="00FC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B42EB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9680-BCDC-4259-AE0B-AAD06B2C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4</Pages>
  <Words>3177</Words>
  <Characters>1812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53</cp:revision>
  <cp:lastPrinted>2022-09-15T09:41:00Z</cp:lastPrinted>
  <dcterms:created xsi:type="dcterms:W3CDTF">2019-11-25T12:18:00Z</dcterms:created>
  <dcterms:modified xsi:type="dcterms:W3CDTF">2022-09-19T11:53:00Z</dcterms:modified>
</cp:coreProperties>
</file>