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6C" w:rsidRPr="00615A6C" w:rsidRDefault="00615A6C" w:rsidP="00EF54DC">
      <w:pPr>
        <w:shd w:val="clear" w:color="auto" w:fill="FFFFFF"/>
        <w:spacing w:after="135" w:line="240" w:lineRule="auto"/>
        <w:contextualSpacing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E76CD0" w:rsidRDefault="00F85C74" w:rsidP="00EF54DC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мін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EF54D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EF54DC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EF54DC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615A6C" w:rsidP="00EF54DC">
      <w:pPr>
        <w:shd w:val="clear" w:color="auto" w:fill="FFFFFF"/>
        <w:spacing w:after="135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2870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6449,4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EF54DC">
      <w:pPr>
        <w:shd w:val="clear" w:color="auto" w:fill="FFFFFF"/>
        <w:spacing w:after="135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456B2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27650,6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2022 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6965,0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EF54DC">
      <w:pPr>
        <w:shd w:val="clear" w:color="auto" w:fill="FFFFFF"/>
        <w:spacing w:after="135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з Договором з НСЗУ по пакету медичних послуг  «Вакцинація від гострої респіраторної хвороби COVID -19, спричиненої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 дохі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дна частина на 2022 рік </w:t>
      </w:r>
      <w:r w:rsidR="00814C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становить  685,6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DC69C5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 підтримки»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(додатково виділені ко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шти з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місцевого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бюджету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). За програм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ою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розвитку та фінансової підтримки</w:t>
      </w:r>
      <w:r w:rsidR="000A66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202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>ці</w:t>
      </w:r>
      <w:proofErr w:type="spellEnd"/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28700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6413,1</w:t>
      </w:r>
      <w:r w:rsidR="00E5601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772DA8" w:rsidRPr="00772DA8" w:rsidRDefault="00772DA8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2022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F65C1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1114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,0 тис. грн.</w:t>
      </w:r>
    </w:p>
    <w:p w:rsidR="00615A6C" w:rsidRPr="00A07C81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07C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16,9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A07C81" w:rsidRDefault="00A07C81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18,0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B06434" w:rsidRDefault="00B06434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</w:p>
    <w:p w:rsidR="00296068" w:rsidRDefault="00296068" w:rsidP="00EF54DC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</w:pPr>
      <w:bookmarkStart w:id="0" w:name="_GoBack"/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500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від інвестиційної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- </w:t>
      </w:r>
      <w:r w:rsidR="0028700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211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,0 тис грн., 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а саме</w:t>
      </w:r>
    </w:p>
    <w:p w:rsidR="00A07C81" w:rsidRPr="0026638B" w:rsidRDefault="00296068" w:rsidP="00EF54DC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4E48C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501 «Доходи з місцевого бюджету цільового фінансування по капітальних видатках»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2022 рік 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становить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28700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211</w:t>
      </w:r>
      <w:r w:rsidR="0095730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,0</w:t>
      </w:r>
      <w:r w:rsidR="0028700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864B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(</w:t>
      </w:r>
      <w:r w:rsidR="0028700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на 86,0 тис. грн. відбулось за рахунок коштів виділених з місцевого бюджету на закупівлю двох аналізаторів сечі</w:t>
      </w:r>
      <w:r w:rsidR="001833F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B0152" w:rsidRPr="00AA1836" w:rsidRDefault="006B0152" w:rsidP="00EF54DC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2022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4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EF54DC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CD3B8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985,8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bookmarkEnd w:id="0"/>
    <w:p w:rsidR="00F65C16" w:rsidRPr="00C77E4F" w:rsidRDefault="006B0152" w:rsidP="00EF54DC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8139A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2021</w:t>
      </w:r>
      <w:r w:rsidR="00D153DF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623,8</w:t>
      </w:r>
      <w:r w:rsidR="0006312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353,2 тис. грн. по пакету «Первинна медична допомога»;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263,1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«Вакцинація від гострої респіраторної хвороби COVID -19, спричиненої </w:t>
      </w:r>
      <w:proofErr w:type="spellStart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;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7,5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«Медична допомога, яка надається мобільними медичними бригадами, що утворені для реагування на гостру респіраторну хворобу COVID -19, спричинену корона вірусом SARS-CoV-2»</w:t>
      </w:r>
      <w:r w:rsidR="00C77E4F" w:rsidRP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6B0152" w:rsidRDefault="006B0152" w:rsidP="00EF54DC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lastRenderedPageBreak/>
        <w:t xml:space="preserve">кошти отримані від продажу автомобіля </w:t>
      </w:r>
      <w:r w:rsidR="00AA183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1C63EA" w:rsidP="00EF54DC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отримані від наданих послуг 35,4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063126" w:rsidRDefault="00557EAC" w:rsidP="00EF54DC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отримані від страхової компанії 130,0 тис. грн.</w:t>
      </w:r>
    </w:p>
    <w:p w:rsidR="00B06434" w:rsidRPr="00EF54DC" w:rsidRDefault="00CD3B8C" w:rsidP="00EF54DC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кошти отримані згідно договору від 01.08.2022р. благодійного гранту на реалізацію </w:t>
      </w:r>
      <w:proofErr w:type="spellStart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них органів влади, місцевих гром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ад, організацій громадянського суспільства та медичних працівників»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45,0 тис. грн.</w:t>
      </w:r>
    </w:p>
    <w:p w:rsidR="00615A6C" w:rsidRPr="009674F4" w:rsidRDefault="00E5601E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2870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6449,4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DC69C5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3493,8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більшення відбулося в сумі 171,0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 через кошти отримані з місцевого</w:t>
      </w:r>
      <w:r w:rsidR="00DC69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бю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джету на закупівлю предметів, матеріалів</w:t>
      </w:r>
      <w:r w:rsidR="00F00E6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r w:rsidR="007B57D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обладнання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інвентарю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та </w:t>
      </w:r>
      <w:proofErr w:type="spellStart"/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медінструментарію</w:t>
      </w:r>
      <w:proofErr w:type="spellEnd"/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="0073271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1959,6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615A6C" w:rsidRPr="003D4A46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550,6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 відбулося в сумі 2,4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 за рахунок відшкодування компенсації, що надається під час розміщення тимчасово переміщених осіб у період воєнного стану)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1308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615A6C" w:rsidRPr="00847851" w:rsidRDefault="00CF1D60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3702,</w:t>
      </w:r>
      <w:proofErr w:type="gramStart"/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615A6C" w:rsidRDefault="00CB376D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5048,0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94790" w:rsidRDefault="00294790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B376D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5463,4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грн.;</w:t>
      </w:r>
    </w:p>
    <w:p w:rsidR="00615A6C" w:rsidRPr="009674F4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23702,</w:t>
      </w:r>
      <w:proofErr w:type="gramStart"/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грн.;</w:t>
      </w:r>
    </w:p>
    <w:p w:rsidR="00615A6C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5048,0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01C36" w:rsidRPr="00901C36" w:rsidRDefault="00901C36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0004B2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F71B78" w:rsidRDefault="00F71B78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615A6C" w:rsidRPr="0058436C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58436C" w:rsidRDefault="00615A6C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09E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287,5</w:t>
      </w:r>
      <w:r w:rsidR="0058436C" w:rsidRPr="0058436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грн.,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E509E7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 на 86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CB376D"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 рахунок виділених коштів з місцевого бюджету)</w:t>
      </w:r>
    </w:p>
    <w:p w:rsidR="00847851" w:rsidRPr="00847851" w:rsidRDefault="004F4BA8" w:rsidP="00EF54DC">
      <w:pPr>
        <w:shd w:val="clear" w:color="auto" w:fill="FFFFFF"/>
        <w:spacing w:after="135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516</w:t>
      </w:r>
      <w:r w:rsidR="00E51A14"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Капітальний ремонт</w:t>
      </w: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–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228,6</w:t>
      </w:r>
      <w:r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грн. </w:t>
      </w:r>
    </w:p>
    <w:p w:rsidR="009674F4" w:rsidRDefault="009674F4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EF54DC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A6C"/>
    <w:rsid w:val="000004B2"/>
    <w:rsid w:val="00063126"/>
    <w:rsid w:val="0009352F"/>
    <w:rsid w:val="000A535B"/>
    <w:rsid w:val="000A59D0"/>
    <w:rsid w:val="000A66BC"/>
    <w:rsid w:val="000B603F"/>
    <w:rsid w:val="000B74C5"/>
    <w:rsid w:val="000F3946"/>
    <w:rsid w:val="00133E27"/>
    <w:rsid w:val="00150F82"/>
    <w:rsid w:val="001833F5"/>
    <w:rsid w:val="001C63EA"/>
    <w:rsid w:val="001E5746"/>
    <w:rsid w:val="0026638B"/>
    <w:rsid w:val="00267801"/>
    <w:rsid w:val="00274307"/>
    <w:rsid w:val="0028700B"/>
    <w:rsid w:val="00294790"/>
    <w:rsid w:val="00296068"/>
    <w:rsid w:val="00304195"/>
    <w:rsid w:val="00310772"/>
    <w:rsid w:val="00324670"/>
    <w:rsid w:val="00356E1B"/>
    <w:rsid w:val="003B0755"/>
    <w:rsid w:val="003C0F69"/>
    <w:rsid w:val="003D4A46"/>
    <w:rsid w:val="00401B5F"/>
    <w:rsid w:val="00406EF8"/>
    <w:rsid w:val="004323BD"/>
    <w:rsid w:val="00456B2F"/>
    <w:rsid w:val="00457435"/>
    <w:rsid w:val="00497BD1"/>
    <w:rsid w:val="004E48CD"/>
    <w:rsid w:val="004F4BA8"/>
    <w:rsid w:val="0051304D"/>
    <w:rsid w:val="005267D8"/>
    <w:rsid w:val="00546938"/>
    <w:rsid w:val="00557EAC"/>
    <w:rsid w:val="0058436C"/>
    <w:rsid w:val="00590F68"/>
    <w:rsid w:val="005A43BD"/>
    <w:rsid w:val="00615A6C"/>
    <w:rsid w:val="00617C11"/>
    <w:rsid w:val="00653A05"/>
    <w:rsid w:val="006543C3"/>
    <w:rsid w:val="006A35AE"/>
    <w:rsid w:val="006B0152"/>
    <w:rsid w:val="006B37BB"/>
    <w:rsid w:val="006C7F9E"/>
    <w:rsid w:val="00700534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7308"/>
    <w:rsid w:val="009674F4"/>
    <w:rsid w:val="009B37FB"/>
    <w:rsid w:val="009D1EB0"/>
    <w:rsid w:val="009E3B38"/>
    <w:rsid w:val="009F4901"/>
    <w:rsid w:val="00A0143C"/>
    <w:rsid w:val="00A07C81"/>
    <w:rsid w:val="00A44CF9"/>
    <w:rsid w:val="00A63E19"/>
    <w:rsid w:val="00A814A7"/>
    <w:rsid w:val="00A92683"/>
    <w:rsid w:val="00AA1836"/>
    <w:rsid w:val="00AE1D33"/>
    <w:rsid w:val="00B06434"/>
    <w:rsid w:val="00B65EBC"/>
    <w:rsid w:val="00BC0611"/>
    <w:rsid w:val="00C417A4"/>
    <w:rsid w:val="00C60225"/>
    <w:rsid w:val="00C77E4F"/>
    <w:rsid w:val="00C8501F"/>
    <w:rsid w:val="00CB0080"/>
    <w:rsid w:val="00CB376D"/>
    <w:rsid w:val="00CD3B8C"/>
    <w:rsid w:val="00CF1D60"/>
    <w:rsid w:val="00D153DF"/>
    <w:rsid w:val="00D43E72"/>
    <w:rsid w:val="00D466BB"/>
    <w:rsid w:val="00D87E0F"/>
    <w:rsid w:val="00DA2B53"/>
    <w:rsid w:val="00DC44E2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61638"/>
    <w:rsid w:val="00E64D50"/>
    <w:rsid w:val="00E76CD0"/>
    <w:rsid w:val="00EF54DC"/>
    <w:rsid w:val="00F00E66"/>
    <w:rsid w:val="00F17373"/>
    <w:rsid w:val="00F65C16"/>
    <w:rsid w:val="00F71B78"/>
    <w:rsid w:val="00F76290"/>
    <w:rsid w:val="00F85C50"/>
    <w:rsid w:val="00F85C74"/>
    <w:rsid w:val="00FC5FC2"/>
    <w:rsid w:val="00F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078D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5ED6A-8CB4-43B5-B68D-C375FC57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2</Pages>
  <Words>3017</Words>
  <Characters>1720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68</cp:revision>
  <cp:lastPrinted>2022-12-01T08:27:00Z</cp:lastPrinted>
  <dcterms:created xsi:type="dcterms:W3CDTF">2019-11-25T12:18:00Z</dcterms:created>
  <dcterms:modified xsi:type="dcterms:W3CDTF">2022-12-01T08:27:00Z</dcterms:modified>
</cp:coreProperties>
</file>