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FF8" w:rsidRPr="00B1475A" w:rsidRDefault="00C17FF8" w:rsidP="00B147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Пілотна</w:t>
      </w:r>
      <w:r w:rsidRPr="00B1475A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Програм</w:t>
      </w:r>
      <w:r>
        <w:rPr>
          <w:rFonts w:ascii="Times New Roman" w:hAnsi="Times New Roman"/>
          <w:b/>
          <w:sz w:val="26"/>
          <w:szCs w:val="26"/>
          <w:lang w:val="uk-UA"/>
        </w:rPr>
        <w:t>а</w:t>
      </w:r>
      <w:r w:rsidRPr="00B1475A">
        <w:rPr>
          <w:rFonts w:ascii="Times New Roman" w:hAnsi="Times New Roman"/>
          <w:b/>
          <w:sz w:val="26"/>
          <w:szCs w:val="26"/>
        </w:rPr>
        <w:t xml:space="preserve"> запровадження роздільного збору ТПВ у багатоквартирних будинках на базі ОСББ «Авіатор - 107» та «Авіатор - 111» у м. Городок Львівської області»</w:t>
      </w:r>
    </w:p>
    <w:p w:rsidR="00C17FF8" w:rsidRPr="00B1475A" w:rsidRDefault="00C17FF8" w:rsidP="00B1475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B1475A">
        <w:rPr>
          <w:rFonts w:ascii="Times New Roman" w:hAnsi="Times New Roman"/>
          <w:b/>
          <w:sz w:val="26"/>
          <w:szCs w:val="26"/>
          <w:lang w:val="uk-UA"/>
        </w:rPr>
        <w:t>Вступ</w:t>
      </w:r>
    </w:p>
    <w:p w:rsidR="00C17FF8" w:rsidRPr="000B6117" w:rsidRDefault="00C17FF8" w:rsidP="000B6117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B1475A">
        <w:rPr>
          <w:rFonts w:ascii="Times New Roman" w:hAnsi="Times New Roman" w:cs="Times New Roman"/>
          <w:sz w:val="26"/>
          <w:szCs w:val="26"/>
          <w:lang w:val="uk-UA"/>
        </w:rPr>
        <w:t>Розроблення пілотної «Програми запровадження роздільного збору ТПВ у багатоквартирних будинках на базі ОСББ «Авіатор - 107» та «Авіатор - 111» у м. Городок Львівської області» (надалі - Програми) виконується на виконання Закону  України  “Про відходи”, постанови Кабінету Міністрів України від 04.03.2004 № 265 «Про затвердження програми поводження з твердими побутовими відходами», постанови Кабінету Міністрів України від 10.12.2008р. №1070 «</w:t>
      </w:r>
      <w:r w:rsidRPr="00B1475A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/>
        </w:rPr>
        <w:t>Про затвердження Правил надання послуг з вивезення побутових відходів», Наказу Міністерства регіонального розвитку, будівництва та житлово-комунального господарства України від 01.08.2011р. №133 «Про затвердження Методики роздільного збирання побутових відходів»</w:t>
      </w:r>
      <w:r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val="uk-UA"/>
        </w:rPr>
        <w:t>, р</w:t>
      </w:r>
      <w:r w:rsidRPr="000B6117">
        <w:rPr>
          <w:rFonts w:ascii="Times New Roman" w:hAnsi="Times New Roman" w:cs="Times New Roman"/>
          <w:sz w:val="26"/>
          <w:szCs w:val="26"/>
          <w:lang w:val="uk-UA"/>
        </w:rPr>
        <w:t>екомендацій Міністерства будівництва, архітектури та житлово-комунального-господарства України щодо підготовки місцевих програм поводження з твердими побутовими відходами.</w:t>
      </w:r>
    </w:p>
    <w:p w:rsidR="00C17FF8" w:rsidRPr="00B1475A" w:rsidRDefault="00C17FF8" w:rsidP="00B1475A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B1475A">
        <w:rPr>
          <w:rFonts w:ascii="Times New Roman" w:hAnsi="Times New Roman"/>
          <w:sz w:val="26"/>
          <w:szCs w:val="26"/>
          <w:lang w:val="uk-UA"/>
        </w:rPr>
        <w:t xml:space="preserve">Поводження з ТПВ є одним з пріоритетних і найважливіших напрямків як господарської, так і природоохоронної діяльності. Воно включає в себе дії, спрямовані на запобігання утворенню відходів, їх збирання, перевезення, зберігання, перероблення, утилізацію і захоронення, включаючи контроль за цими операціями. </w:t>
      </w:r>
      <w:r w:rsidRPr="00B1475A">
        <w:rPr>
          <w:rFonts w:ascii="Times New Roman" w:hAnsi="Times New Roman"/>
          <w:sz w:val="26"/>
          <w:szCs w:val="26"/>
        </w:rPr>
        <w:t>Такий широкий спектр проблематики поєднує в собі економічні, екологічні та соціальні аспекти.</w:t>
      </w:r>
    </w:p>
    <w:p w:rsidR="00C17FF8" w:rsidRDefault="00C17FF8" w:rsidP="00B1475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B1475A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       </w:t>
      </w:r>
      <w:r w:rsidRPr="00B147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Роздільне збирання ТПВ є одним з варіантів ефективного вирішення проблем у сфері поводження з ними. Користь роздільного збирання ТПВ населенням виявляється, зокрема, у зменшенні навантаження на полігони твердих побутових відходів, збереженні природних ресурсів, покращення екологічного стану.</w:t>
      </w:r>
    </w:p>
    <w:p w:rsidR="00C17FF8" w:rsidRPr="00B1475A" w:rsidRDefault="00C17FF8" w:rsidP="00B1475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 xml:space="preserve">        </w:t>
      </w:r>
      <w:r w:rsidRPr="00774F61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Запровадження роздільного збирання ТПВ та застосування інноваційних підходів щодо комплексного вирішення проблеми, допоможе вирішити проблеми, пов'язан</w:t>
      </w:r>
      <w:r w:rsidRPr="00B1475A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і</w:t>
      </w:r>
      <w:r w:rsidRPr="00774F61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з ТПВ у місті.</w:t>
      </w:r>
    </w:p>
    <w:p w:rsidR="00C17FF8" w:rsidRPr="00C8435C" w:rsidRDefault="00C17FF8" w:rsidP="00781D37">
      <w:pPr>
        <w:spacing w:after="0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Мет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а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Програми</w:t>
      </w:r>
      <w:r w:rsidRPr="00C8435C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:</w:t>
      </w:r>
    </w:p>
    <w:p w:rsidR="00C17FF8" w:rsidRPr="00C8435C" w:rsidRDefault="00C17FF8" w:rsidP="00781D37">
      <w:pPr>
        <w:pStyle w:val="ListParagraph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C843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створення екологічно чистого середовища в місті</w:t>
      </w:r>
      <w:r w:rsidRPr="00C8435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;</w:t>
      </w:r>
    </w:p>
    <w:p w:rsidR="00C17FF8" w:rsidRPr="00C8435C" w:rsidRDefault="00C17FF8" w:rsidP="00781D37">
      <w:pPr>
        <w:pStyle w:val="ListParagraph"/>
        <w:numPr>
          <w:ilvl w:val="0"/>
          <w:numId w:val="1"/>
        </w:numPr>
        <w:spacing w:after="0"/>
        <w:ind w:left="0"/>
        <w:jc w:val="both"/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C8435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зменшити обсяг захоронення твердих побутових і негабаритних відходів шляхом їх сортування та відправлення на подальшу переробку;</w:t>
      </w:r>
      <w:r w:rsidRPr="00C8435C"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C17FF8" w:rsidRPr="00C8435C" w:rsidRDefault="00C17FF8" w:rsidP="00781D37">
      <w:pPr>
        <w:pStyle w:val="ListParagraph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  <w:r w:rsidRPr="00C843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створити умови для сортування ТПВ на стадії збору шляхом придбання спеціальних контейнерів для їх роздільного накопичення</w:t>
      </w:r>
      <w:r w:rsidRPr="00C8435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.</w:t>
      </w:r>
    </w:p>
    <w:p w:rsidR="00C17FF8" w:rsidRPr="00B1475A" w:rsidRDefault="00C17FF8" w:rsidP="00B1475A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B1475A">
        <w:rPr>
          <w:rFonts w:ascii="Times New Roman" w:hAnsi="Times New Roman"/>
          <w:b/>
          <w:sz w:val="26"/>
          <w:szCs w:val="26"/>
          <w:lang w:val="uk-UA"/>
        </w:rPr>
        <w:t>Механізм впровадження Програми</w:t>
      </w:r>
    </w:p>
    <w:p w:rsidR="00C17FF8" w:rsidRDefault="00C17FF8" w:rsidP="00C843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8435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    </w:t>
      </w:r>
      <w:r w:rsidRPr="00C8435C">
        <w:rPr>
          <w:rFonts w:ascii="Times New Roman" w:hAnsi="Times New Roman"/>
          <w:sz w:val="26"/>
          <w:szCs w:val="26"/>
          <w:lang w:val="uk-UA"/>
        </w:rPr>
        <w:t xml:space="preserve">Городоцька міська рада закупляє контейнери для роздільного збору ТПВ та передає ОСББ «Авіатор - 107» та «Авіатор - 111» в оренду відповідно до укладеного договору. </w:t>
      </w:r>
    </w:p>
    <w:p w:rsidR="00C17FF8" w:rsidRPr="00C8435C" w:rsidRDefault="00C17FF8" w:rsidP="00C8435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C8435C">
        <w:rPr>
          <w:rFonts w:ascii="Times New Roman" w:hAnsi="Times New Roman"/>
          <w:sz w:val="26"/>
          <w:szCs w:val="26"/>
          <w:lang w:val="uk-UA"/>
        </w:rPr>
        <w:t>ОСББ облаштовує на прибудинковій території у погодженому з КП «Міське комунальне господарство» та надавачом послуг із вивозу ТПВ місці відповідні майданчики для роздільного збору ТПВ</w:t>
      </w:r>
      <w:r>
        <w:rPr>
          <w:rFonts w:ascii="Times New Roman" w:hAnsi="Times New Roman"/>
          <w:sz w:val="26"/>
          <w:szCs w:val="26"/>
          <w:lang w:val="uk-UA"/>
        </w:rPr>
        <w:t xml:space="preserve"> (пластик, скло, папір, метал)</w:t>
      </w:r>
      <w:r w:rsidRPr="00C8435C">
        <w:rPr>
          <w:rFonts w:ascii="Times New Roman" w:hAnsi="Times New Roman"/>
          <w:sz w:val="26"/>
          <w:szCs w:val="26"/>
          <w:lang w:val="uk-UA"/>
        </w:rPr>
        <w:t xml:space="preserve">. </w:t>
      </w:r>
      <w:r>
        <w:rPr>
          <w:rFonts w:ascii="Times New Roman" w:hAnsi="Times New Roman"/>
          <w:sz w:val="26"/>
          <w:szCs w:val="26"/>
          <w:lang w:val="uk-UA"/>
        </w:rPr>
        <w:t xml:space="preserve"> ОСББ несе відповідальність за технічний та санітарний стан майданчика для збору ТПВ, самостійно укладає договір на вивіз відходів і вторинної сировини з суб’єктом підприємницької діяльності.</w:t>
      </w:r>
      <w:r w:rsidRPr="00C8435C">
        <w:rPr>
          <w:rFonts w:ascii="Times New Roman" w:hAnsi="Times New Roman"/>
          <w:sz w:val="26"/>
          <w:szCs w:val="26"/>
          <w:lang w:val="uk-UA"/>
        </w:rPr>
        <w:t xml:space="preserve">    </w:t>
      </w:r>
    </w:p>
    <w:p w:rsidR="00C17FF8" w:rsidRPr="00C8435C" w:rsidRDefault="00C17FF8" w:rsidP="00C8435C">
      <w:pPr>
        <w:pStyle w:val="ListParagraph"/>
        <w:spacing w:after="0"/>
        <w:ind w:left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</w:pPr>
    </w:p>
    <w:p w:rsidR="00C17FF8" w:rsidRPr="00C8435C" w:rsidRDefault="00C17FF8" w:rsidP="00C8435C">
      <w:pPr>
        <w:spacing w:after="0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C17FF8" w:rsidRPr="00C8435C" w:rsidRDefault="00C17FF8" w:rsidP="00C8435C">
      <w:pPr>
        <w:jc w:val="both"/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  <w:r w:rsidRPr="00C8435C">
        <w:rPr>
          <w:rFonts w:ascii="Tahoma" w:hAnsi="Tahoma" w:cs="Tahoma"/>
          <w:color w:val="000000"/>
          <w:sz w:val="18"/>
          <w:szCs w:val="18"/>
          <w:lang w:val="uk-UA"/>
        </w:rPr>
        <w:br/>
      </w:r>
    </w:p>
    <w:p w:rsidR="00C17FF8" w:rsidRDefault="00C17FF8">
      <w:pPr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C17FF8" w:rsidRDefault="00C17FF8">
      <w:pPr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C17FF8" w:rsidRDefault="00C17FF8" w:rsidP="001D4304">
      <w:pPr>
        <w:tabs>
          <w:tab w:val="left" w:pos="9940"/>
        </w:tabs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C17FF8" w:rsidRDefault="00C17FF8" w:rsidP="001D4304">
      <w:pPr>
        <w:tabs>
          <w:tab w:val="left" w:pos="9940"/>
        </w:tabs>
        <w:rPr>
          <w:rStyle w:val="apple-converted-space"/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C17FF8" w:rsidRPr="00EC25F5" w:rsidRDefault="00C17FF8">
      <w:pPr>
        <w:rPr>
          <w:lang w:val="uk-UA"/>
        </w:rPr>
        <w:sectPr w:rsidR="00C17FF8" w:rsidRPr="00EC25F5" w:rsidSect="00781D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17FF8" w:rsidRPr="00D91232" w:rsidRDefault="00C17FF8" w:rsidP="00873EA2">
      <w:pPr>
        <w:tabs>
          <w:tab w:val="left" w:pos="9940"/>
        </w:tabs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D91232">
        <w:rPr>
          <w:rFonts w:ascii="Times New Roman" w:hAnsi="Times New Roman"/>
          <w:b/>
          <w:sz w:val="26"/>
          <w:szCs w:val="26"/>
          <w:lang w:val="uk-UA"/>
        </w:rPr>
        <w:t>Заходи щодо вирішення проблеми поводження з ТПВ</w:t>
      </w:r>
    </w:p>
    <w:tbl>
      <w:tblPr>
        <w:tblpPr w:leftFromText="180" w:rightFromText="180" w:vertAnchor="text" w:horzAnchor="margin" w:tblpY="637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4"/>
        <w:gridCol w:w="5268"/>
        <w:gridCol w:w="2513"/>
        <w:gridCol w:w="1814"/>
        <w:gridCol w:w="2233"/>
        <w:gridCol w:w="2502"/>
      </w:tblGrid>
      <w:tr w:rsidR="00C17FF8" w:rsidRPr="00CC40AB" w:rsidTr="00873EA2">
        <w:trPr>
          <w:trHeight w:val="1368"/>
        </w:trPr>
        <w:tc>
          <w:tcPr>
            <w:tcW w:w="80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№з\п</w:t>
            </w:r>
          </w:p>
        </w:tc>
        <w:tc>
          <w:tcPr>
            <w:tcW w:w="5268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251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Відповідальний виконавець</w:t>
            </w:r>
          </w:p>
        </w:tc>
        <w:tc>
          <w:tcPr>
            <w:tcW w:w="181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Термін виконання</w:t>
            </w:r>
          </w:p>
        </w:tc>
        <w:tc>
          <w:tcPr>
            <w:tcW w:w="223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Джерело фінансування</w:t>
            </w:r>
          </w:p>
        </w:tc>
        <w:tc>
          <w:tcPr>
            <w:tcW w:w="2502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Обсяг фінансування, грн</w:t>
            </w:r>
          </w:p>
        </w:tc>
      </w:tr>
      <w:tr w:rsidR="00C17FF8" w:rsidRPr="00CC40AB" w:rsidTr="00873EA2">
        <w:trPr>
          <w:trHeight w:val="592"/>
        </w:trPr>
        <w:tc>
          <w:tcPr>
            <w:tcW w:w="80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5268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Облаштування майданчика для роздільного збору ТПВ на прибудинковій території ОСББ «Авіатор - 107»</w:t>
            </w:r>
          </w:p>
        </w:tc>
        <w:tc>
          <w:tcPr>
            <w:tcW w:w="251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ОСББ «Авіатор - 107»</w:t>
            </w:r>
          </w:p>
        </w:tc>
        <w:tc>
          <w:tcPr>
            <w:tcW w:w="181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Липень 2017р.</w:t>
            </w:r>
          </w:p>
        </w:tc>
        <w:tc>
          <w:tcPr>
            <w:tcW w:w="223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ОСББ «Авіатор - 107»,</w:t>
            </w:r>
          </w:p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2502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C17FF8" w:rsidRPr="00CC40AB" w:rsidTr="00873EA2">
        <w:trPr>
          <w:trHeight w:val="510"/>
        </w:trPr>
        <w:tc>
          <w:tcPr>
            <w:tcW w:w="80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5268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Облаштування майданчика для роздільного збору ТПВ на прибудинковій території ОСББ «Авіатор - 111»</w:t>
            </w:r>
          </w:p>
        </w:tc>
        <w:tc>
          <w:tcPr>
            <w:tcW w:w="251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ОСББ «Авіатор - 111»</w:t>
            </w:r>
          </w:p>
        </w:tc>
        <w:tc>
          <w:tcPr>
            <w:tcW w:w="181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Липень 2017р.</w:t>
            </w:r>
          </w:p>
        </w:tc>
        <w:tc>
          <w:tcPr>
            <w:tcW w:w="223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ОСББ «Авіатор - 111»,</w:t>
            </w:r>
          </w:p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2502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C17FF8" w:rsidRPr="00CC40AB" w:rsidTr="00635459">
        <w:trPr>
          <w:trHeight w:val="1197"/>
        </w:trPr>
        <w:tc>
          <w:tcPr>
            <w:tcW w:w="80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5268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Придбання контейнерів для роздільного збору ТПВ</w:t>
            </w:r>
          </w:p>
        </w:tc>
        <w:tc>
          <w:tcPr>
            <w:tcW w:w="251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Городоцька міська рада</w:t>
            </w:r>
          </w:p>
        </w:tc>
        <w:tc>
          <w:tcPr>
            <w:tcW w:w="181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Липень - серпень 2017р.</w:t>
            </w:r>
          </w:p>
        </w:tc>
        <w:tc>
          <w:tcPr>
            <w:tcW w:w="223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2502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sz w:val="26"/>
                <w:szCs w:val="26"/>
                <w:lang w:val="uk-UA"/>
              </w:rPr>
              <w:t>50 000</w:t>
            </w:r>
          </w:p>
        </w:tc>
      </w:tr>
      <w:tr w:rsidR="00C17FF8" w:rsidRPr="00CC40AB" w:rsidTr="0051774C">
        <w:trPr>
          <w:trHeight w:val="422"/>
        </w:trPr>
        <w:tc>
          <w:tcPr>
            <w:tcW w:w="80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68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251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3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2" w:type="dxa"/>
          </w:tcPr>
          <w:p w:rsidR="00C17FF8" w:rsidRPr="00CC40AB" w:rsidRDefault="00C17FF8" w:rsidP="00873EA2">
            <w:pPr>
              <w:tabs>
                <w:tab w:val="left" w:pos="9940"/>
              </w:tabs>
              <w:spacing w:after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C40A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50 000</w:t>
            </w:r>
          </w:p>
        </w:tc>
      </w:tr>
    </w:tbl>
    <w:p w:rsidR="00C17FF8" w:rsidRDefault="00C17FF8" w:rsidP="00C8435C">
      <w:pPr>
        <w:spacing w:after="0"/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rPr>
          <w:rFonts w:ascii="Times New Roman" w:hAnsi="Times New Roman"/>
          <w:sz w:val="26"/>
          <w:szCs w:val="26"/>
        </w:rPr>
      </w:pPr>
    </w:p>
    <w:p w:rsidR="00C17FF8" w:rsidRPr="00635459" w:rsidRDefault="00C17FF8" w:rsidP="00635459">
      <w:pPr>
        <w:tabs>
          <w:tab w:val="left" w:pos="2445"/>
        </w:tabs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</w:rPr>
        <w:tab/>
      </w:r>
      <w:r w:rsidRPr="00635459">
        <w:rPr>
          <w:rFonts w:ascii="Times New Roman" w:hAnsi="Times New Roman"/>
          <w:b/>
          <w:sz w:val="26"/>
          <w:szCs w:val="26"/>
          <w:lang w:val="uk-UA"/>
        </w:rPr>
        <w:t>Секретар міської ради                                                                                    Ю. Віткова</w:t>
      </w:r>
    </w:p>
    <w:sectPr w:rsidR="00C17FF8" w:rsidRPr="00635459" w:rsidSect="00781D3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B348D"/>
    <w:multiLevelType w:val="hybridMultilevel"/>
    <w:tmpl w:val="2B5E1908"/>
    <w:lvl w:ilvl="0" w:tplc="9E860A16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B06"/>
    <w:rsid w:val="000B6117"/>
    <w:rsid w:val="0011580E"/>
    <w:rsid w:val="00161B1A"/>
    <w:rsid w:val="00187E8A"/>
    <w:rsid w:val="001D4304"/>
    <w:rsid w:val="001E12A9"/>
    <w:rsid w:val="00293B28"/>
    <w:rsid w:val="002D3D02"/>
    <w:rsid w:val="00341B06"/>
    <w:rsid w:val="0035629D"/>
    <w:rsid w:val="00384A59"/>
    <w:rsid w:val="00431492"/>
    <w:rsid w:val="00510419"/>
    <w:rsid w:val="0051774C"/>
    <w:rsid w:val="0054584E"/>
    <w:rsid w:val="00596F05"/>
    <w:rsid w:val="0061519B"/>
    <w:rsid w:val="00632B26"/>
    <w:rsid w:val="00635459"/>
    <w:rsid w:val="007019FC"/>
    <w:rsid w:val="00774F61"/>
    <w:rsid w:val="00781D37"/>
    <w:rsid w:val="00873EA2"/>
    <w:rsid w:val="00896C08"/>
    <w:rsid w:val="00B1475A"/>
    <w:rsid w:val="00BA55BB"/>
    <w:rsid w:val="00C15839"/>
    <w:rsid w:val="00C17FF8"/>
    <w:rsid w:val="00C8435C"/>
    <w:rsid w:val="00CC40AB"/>
    <w:rsid w:val="00D6299C"/>
    <w:rsid w:val="00D64E76"/>
    <w:rsid w:val="00D91232"/>
    <w:rsid w:val="00EC25F5"/>
    <w:rsid w:val="00F5116E"/>
    <w:rsid w:val="00FA322A"/>
    <w:rsid w:val="00FD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341B06"/>
    <w:rPr>
      <w:rFonts w:cs="Times New Roman"/>
    </w:rPr>
  </w:style>
  <w:style w:type="character" w:styleId="Strong">
    <w:name w:val="Strong"/>
    <w:basedOn w:val="DefaultParagraphFont"/>
    <w:uiPriority w:val="99"/>
    <w:qFormat/>
    <w:rsid w:val="00341B06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32B26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596F05"/>
    <w:pPr>
      <w:spacing w:after="0" w:line="240" w:lineRule="auto"/>
      <w:ind w:firstLine="4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96F05"/>
    <w:rPr>
      <w:rFonts w:ascii="Times New Roman" w:hAnsi="Times New Roman" w:cs="Times New Roman"/>
      <w:sz w:val="20"/>
      <w:szCs w:val="20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B14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1475A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544</Words>
  <Characters>3106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Пілотна «Програма запровадження роздільного збору ТПВ у багатоквартирних будинках на базі ОСББ «Авіатор - 107» та «Авіатор - 111» у м</dc:title>
  <dc:subject/>
  <dc:creator>admin</dc:creator>
  <cp:keywords/>
  <dc:description/>
  <cp:lastModifiedBy>Юрій Голубов</cp:lastModifiedBy>
  <cp:revision>2</cp:revision>
  <cp:lastPrinted>2017-05-31T07:36:00Z</cp:lastPrinted>
  <dcterms:created xsi:type="dcterms:W3CDTF">2017-06-02T13:21:00Z</dcterms:created>
  <dcterms:modified xsi:type="dcterms:W3CDTF">2017-06-02T13:21:00Z</dcterms:modified>
</cp:coreProperties>
</file>