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FA40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uk-UA" w:eastAsia="uk-UA"/>
        </w:rPr>
        <w:drawing>
          <wp:inline distT="0" distB="0" distL="0" distR="0" wp14:anchorId="38D3D6EA" wp14:editId="31E89A7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42C29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D4F0299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B23ADDA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2D17138" w14:textId="720B3D8A" w:rsidR="006224D9" w:rsidRPr="00A03FC3" w:rsidRDefault="001E0D2E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color w:val="FF0000"/>
          <w:sz w:val="28"/>
          <w:szCs w:val="28"/>
          <w:lang w:val="uk-UA" w:eastAsia="ru-RU"/>
        </w:rPr>
        <w:t xml:space="preserve">43 </w:t>
      </w:r>
      <w:r w:rsidR="006224D9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7F12FD6" w14:textId="40DCAF1D" w:rsidR="006224D9" w:rsidRPr="0078793A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8793A">
        <w:rPr>
          <w:rFonts w:ascii="Century" w:eastAsia="Calibri" w:hAnsi="Century"/>
          <w:b/>
          <w:sz w:val="32"/>
          <w:szCs w:val="32"/>
          <w:lang w:val="uk-UA" w:eastAsia="ru-RU"/>
        </w:rPr>
        <w:t>24/43</w:t>
      </w:r>
      <w:r w:rsidR="00A358D0">
        <w:rPr>
          <w:rFonts w:ascii="Century" w:eastAsia="Calibri" w:hAnsi="Century"/>
          <w:b/>
          <w:sz w:val="32"/>
          <w:szCs w:val="32"/>
          <w:lang w:val="uk-UA" w:eastAsia="ru-RU"/>
        </w:rPr>
        <w:t>-6797</w:t>
      </w:r>
    </w:p>
    <w:p w14:paraId="3AC4EAF4" w14:textId="4A92144A" w:rsidR="006224D9" w:rsidRPr="00A03FC3" w:rsidRDefault="0078793A" w:rsidP="006224D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1 лютого</w:t>
      </w:r>
      <w:r w:rsidR="00C3240B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C3240B"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2710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A358D0">
        <w:rPr>
          <w:rFonts w:ascii="Century" w:eastAsia="Calibri" w:hAnsi="Century"/>
          <w:sz w:val="28"/>
          <w:szCs w:val="28"/>
          <w:lang w:eastAsia="ru-RU"/>
        </w:rPr>
        <w:tab/>
      </w:r>
      <w:r w:rsidR="00A358D0">
        <w:rPr>
          <w:rFonts w:ascii="Century" w:eastAsia="Calibri" w:hAnsi="Century"/>
          <w:sz w:val="28"/>
          <w:szCs w:val="28"/>
          <w:lang w:eastAsia="ru-RU"/>
        </w:rPr>
        <w:tab/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40F22529" w14:textId="77777777" w:rsidR="00A358D0" w:rsidRDefault="00A358D0" w:rsidP="00A358D0">
      <w:pPr>
        <w:spacing w:after="0" w:line="240" w:lineRule="auto"/>
        <w:ind w:right="5527"/>
        <w:rPr>
          <w:rFonts w:ascii="Century" w:hAnsi="Century"/>
          <w:b/>
          <w:sz w:val="28"/>
          <w:szCs w:val="28"/>
          <w:lang w:eastAsia="uk-UA"/>
        </w:rPr>
      </w:pPr>
    </w:p>
    <w:p w14:paraId="1E9DDCFE" w14:textId="2B323A45" w:rsidR="002710C3" w:rsidRDefault="00DE0E64" w:rsidP="00A358D0">
      <w:pPr>
        <w:spacing w:after="0" w:line="240" w:lineRule="auto"/>
        <w:ind w:right="5527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Положення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 xml:space="preserve">про преміювання </w:t>
      </w:r>
      <w:r w:rsidR="00C3240B">
        <w:rPr>
          <w:rFonts w:ascii="Century" w:hAnsi="Century"/>
          <w:b/>
          <w:sz w:val="28"/>
          <w:szCs w:val="28"/>
          <w:lang w:val="uk-UA" w:eastAsia="uk-UA"/>
        </w:rPr>
        <w:t>та надання матеріальної допомоги працівникам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 xml:space="preserve"> Городоцької міської ради</w:t>
      </w:r>
    </w:p>
    <w:p w14:paraId="1383326D" w14:textId="77777777" w:rsidR="00A358D0" w:rsidRPr="002710C3" w:rsidRDefault="00A358D0" w:rsidP="00A358D0">
      <w:pPr>
        <w:spacing w:after="0" w:line="240" w:lineRule="auto"/>
        <w:ind w:right="5527"/>
        <w:rPr>
          <w:rFonts w:ascii="Century" w:hAnsi="Century"/>
          <w:b/>
          <w:sz w:val="28"/>
          <w:szCs w:val="28"/>
          <w:lang w:val="uk-UA" w:eastAsia="uk-UA"/>
        </w:rPr>
      </w:pPr>
    </w:p>
    <w:p w14:paraId="2933BD9D" w14:textId="77777777" w:rsidR="00DE0E64" w:rsidRPr="006224D9" w:rsidRDefault="00C3240B" w:rsidP="00A358D0">
      <w:pPr>
        <w:pStyle w:val="4"/>
        <w:shd w:val="clear" w:color="auto" w:fill="FFFFFF"/>
        <w:spacing w:before="0" w:after="0" w:line="276" w:lineRule="auto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>Відповідно до ст. 26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 xml:space="preserve">Закону України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"Про місцеве самовряд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ування в Україні",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 Закону України «Про службу в органах місцевого самоврядування», Закону України «Про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наказу Мінекономіки від 23.03.2021р.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</w:t>
      </w:r>
      <w:r w:rsidR="006E3DD5">
        <w:rPr>
          <w:rFonts w:ascii="Century" w:hAnsi="Century"/>
          <w:b w:val="0"/>
          <w:bCs w:val="0"/>
          <w:lang w:val="uk-UA" w:eastAsia="uk-UA"/>
        </w:rPr>
        <w:t xml:space="preserve">ратури, судів та інших органів», з метою посилення стимулювання відповідального та професійного ставлення посадових осіб місцевого самоврядування та інших працівників,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40FDF27F" w14:textId="77777777" w:rsidR="00DE0E64" w:rsidRPr="00A358D0" w:rsidRDefault="003D1EB9" w:rsidP="00A358D0">
      <w:pPr>
        <w:spacing w:after="0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A358D0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A358D0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694CD065" w14:textId="77777777" w:rsidR="00DE0E64" w:rsidRDefault="0079068E" w:rsidP="00A358D0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Положення </w:t>
      </w:r>
      <w:r w:rsid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преміювання </w:t>
      </w:r>
      <w:r w:rsidR="00C3240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надання матеріальної допомоги працівникам Городоцької </w:t>
      </w:r>
      <w:proofErr w:type="spellStart"/>
      <w:r w:rsidR="00C3240B">
        <w:rPr>
          <w:rFonts w:ascii="Century" w:eastAsia="Times New Roman" w:hAnsi="Century" w:cs="Times New Roman"/>
          <w:sz w:val="28"/>
          <w:szCs w:val="28"/>
          <w:lang w:val="uk-UA" w:eastAsia="uk-UA"/>
        </w:rPr>
        <w:t>мської</w:t>
      </w:r>
      <w:proofErr w:type="spellEnd"/>
      <w:r w:rsidR="00C3240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ради</w:t>
      </w: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(далі – Положення) у новій редакції (додається).</w:t>
      </w:r>
    </w:p>
    <w:p w14:paraId="42E39FDD" w14:textId="77777777" w:rsidR="00217F0D" w:rsidRDefault="00217F0D" w:rsidP="00A358D0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Дане рішення вступає в дію з 01 лютого 2024 року.</w:t>
      </w:r>
    </w:p>
    <w:p w14:paraId="3178ADB7" w14:textId="77777777" w:rsidR="00217F0D" w:rsidRPr="006224D9" w:rsidRDefault="00217F0D" w:rsidP="00A358D0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 врахуванн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ям пункту 1 даного </w:t>
      </w:r>
      <w:r w:rsidR="00EE4297" w:rsidRPr="000E40D6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</w:t>
      </w:r>
      <w:r w:rsidRPr="000E40D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вважати таким, що втратило чинність рішення сесії Городоцької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від 23.12.2015р. №25 «Про затвердження Положення про преміювання апарату Городоцької міської ради та її виконавчих органів».</w:t>
      </w:r>
    </w:p>
    <w:p w14:paraId="7DAD0371" w14:textId="4B610887" w:rsidR="00DE0E64" w:rsidRDefault="00DE0E64" w:rsidP="00A358D0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 w:line="276" w:lineRule="auto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lastRenderedPageBreak/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</w:t>
      </w:r>
      <w:r w:rsidR="00BF3EA2">
        <w:rPr>
          <w:rFonts w:ascii="Century" w:hAnsi="Century"/>
          <w:b w:val="0"/>
          <w:bCs w:val="0"/>
          <w:lang w:val="uk-UA" w:eastAsia="uk-UA"/>
        </w:rPr>
        <w:t>з питань бюджету, соціально-економічного розвитку, комунального майна і приватизації</w:t>
      </w:r>
      <w:r w:rsidR="0078793A">
        <w:rPr>
          <w:rFonts w:ascii="Century" w:hAnsi="Century"/>
          <w:b w:val="0"/>
          <w:bCs w:val="0"/>
          <w:lang w:val="uk-UA" w:eastAsia="uk-UA"/>
        </w:rPr>
        <w:t xml:space="preserve"> (гол. Іван </w:t>
      </w:r>
      <w:proofErr w:type="spellStart"/>
      <w:r w:rsidR="0078793A">
        <w:rPr>
          <w:rFonts w:ascii="Century" w:hAnsi="Century"/>
          <w:b w:val="0"/>
          <w:bCs w:val="0"/>
          <w:lang w:val="uk-UA" w:eastAsia="uk-UA"/>
        </w:rPr>
        <w:t>Мєскало</w:t>
      </w:r>
      <w:proofErr w:type="spellEnd"/>
      <w:r w:rsidR="0078793A">
        <w:rPr>
          <w:rFonts w:ascii="Century" w:hAnsi="Century"/>
          <w:b w:val="0"/>
          <w:bCs w:val="0"/>
          <w:lang w:val="uk-UA" w:eastAsia="uk-UA"/>
        </w:rPr>
        <w:t>)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. </w:t>
      </w:r>
    </w:p>
    <w:p w14:paraId="3C8ACC50" w14:textId="77777777" w:rsidR="00A358D0" w:rsidRPr="00A358D0" w:rsidRDefault="00A358D0" w:rsidP="00A358D0">
      <w:pPr>
        <w:spacing w:after="0"/>
        <w:rPr>
          <w:lang w:val="uk-UA" w:eastAsia="uk-UA"/>
        </w:rPr>
      </w:pPr>
    </w:p>
    <w:p w14:paraId="716A0E91" w14:textId="59B11F84" w:rsidR="00A358D0" w:rsidRDefault="00DE0E64" w:rsidP="00A358D0">
      <w:pPr>
        <w:tabs>
          <w:tab w:val="left" w:pos="7515"/>
        </w:tabs>
        <w:spacing w:after="0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A358D0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1878414D" w14:textId="77777777" w:rsidR="00A358D0" w:rsidRDefault="00A358D0">
      <w:pPr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br w:type="page"/>
      </w:r>
    </w:p>
    <w:p w14:paraId="779D6922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</w:p>
    <w:p w14:paraId="730EBB09" w14:textId="77777777" w:rsidR="00A358D0" w:rsidRPr="00323940" w:rsidRDefault="00A358D0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172A3AFD" w14:textId="77777777" w:rsidR="00A358D0" w:rsidRPr="00CC5A51" w:rsidRDefault="00A358D0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657422EB" w14:textId="288D6419" w:rsidR="003D1EB9" w:rsidRPr="00A358D0" w:rsidRDefault="00A358D0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  <w:lang w:val="uk-UA"/>
        </w:rPr>
      </w:pPr>
      <w:r w:rsidRPr="00A358D0">
        <w:rPr>
          <w:rFonts w:ascii="Century" w:hAnsi="Century"/>
          <w:bCs/>
          <w:sz w:val="28"/>
          <w:szCs w:val="28"/>
        </w:rPr>
        <w:t>01</w:t>
      </w:r>
      <w:r>
        <w:rPr>
          <w:rFonts w:ascii="Century" w:hAnsi="Century"/>
          <w:bCs/>
          <w:sz w:val="28"/>
          <w:szCs w:val="28"/>
        </w:rPr>
        <w:t>.</w:t>
      </w:r>
      <w:r w:rsidRPr="00A358D0">
        <w:rPr>
          <w:rFonts w:ascii="Century" w:hAnsi="Century"/>
          <w:bCs/>
          <w:sz w:val="28"/>
          <w:szCs w:val="28"/>
        </w:rPr>
        <w:t>02</w:t>
      </w:r>
      <w:r>
        <w:rPr>
          <w:rFonts w:ascii="Century" w:hAnsi="Century"/>
          <w:bCs/>
          <w:sz w:val="28"/>
          <w:szCs w:val="28"/>
        </w:rPr>
        <w:t>.202</w:t>
      </w:r>
      <w:r w:rsidRPr="00A358D0">
        <w:rPr>
          <w:rFonts w:ascii="Century" w:hAnsi="Century"/>
          <w:bCs/>
          <w:sz w:val="28"/>
          <w:szCs w:val="28"/>
        </w:rPr>
        <w:t xml:space="preserve">4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24/43-</w:t>
      </w:r>
      <w:r>
        <w:rPr>
          <w:rFonts w:ascii="Century" w:hAnsi="Century"/>
          <w:bCs/>
          <w:sz w:val="28"/>
          <w:szCs w:val="28"/>
          <w:lang w:val="uk-UA"/>
        </w:rPr>
        <w:t>6797</w:t>
      </w:r>
    </w:p>
    <w:p w14:paraId="3A3E85C0" w14:textId="77777777" w:rsidR="00A358D0" w:rsidRPr="00A358D0" w:rsidRDefault="00A358D0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336C7D7E" w14:textId="77777777" w:rsidR="00BF3EA2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ПРО ПРЕМІЮВАННЯ </w:t>
      </w:r>
      <w:r w:rsidR="00C3240B">
        <w:rPr>
          <w:rFonts w:ascii="Times New Roman" w:hAnsi="Times New Roman" w:cs="Times New Roman"/>
          <w:b/>
          <w:sz w:val="28"/>
          <w:szCs w:val="28"/>
          <w:lang w:val="uk-UA"/>
        </w:rPr>
        <w:t>ТА НАДАННЯ МАТЕРАЛЬНОЇ ДОПОМОГИ ПРАЦІВНИКАМ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ГОРОДОЦЬКОЇ МІСЬКОЇ РАДИ</w:t>
      </w:r>
    </w:p>
    <w:p w14:paraId="641728BB" w14:textId="77777777" w:rsidR="00BF3EA2" w:rsidRPr="00EB0BFF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828598" w14:textId="77777777" w:rsidR="00BF3EA2" w:rsidRPr="00BF3EA2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преміювання </w:t>
      </w:r>
      <w:r w:rsidR="00E95D8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надання матеріальної допомоги працівникам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апарату Городоцької міської ради та її виконавчих органів розроблено на Закону України «Про службу в органах місцевого самоврядування», 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Закону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України «Про місцеве самоврядування в Україні», Закону України « 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наказу Мінекономіки від 23.03.2021 р. № 609 “Про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органів” 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</w:t>
      </w:r>
      <w:r w:rsidR="002C2AC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загальні результати роботи.</w:t>
      </w:r>
    </w:p>
    <w:p w14:paraId="154BF522" w14:textId="77777777" w:rsidR="002C2ACB" w:rsidRPr="00BF3EA2" w:rsidRDefault="002C2ACB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E07D5D2" w14:textId="77777777" w:rsidR="00BF3EA2" w:rsidRPr="00217F0D" w:rsidRDefault="002C2ACB" w:rsidP="002C2ACB">
      <w:pPr>
        <w:pStyle w:val="a6"/>
        <w:numPr>
          <w:ilvl w:val="0"/>
          <w:numId w:val="12"/>
        </w:numPr>
        <w:spacing w:after="160" w:line="259" w:lineRule="auto"/>
        <w:ind w:left="284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</w:t>
      </w:r>
      <w:r w:rsidR="00217F0D"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л</w:t>
      </w:r>
      <w:r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оження</w:t>
      </w:r>
    </w:p>
    <w:p w14:paraId="2DA2A32B" w14:textId="3118B408" w:rsidR="00BF3EA2" w:rsidRPr="00217F0D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Преміювання міського голови, працівників апарату Городоць</w:t>
      </w:r>
      <w:r w:rsidR="008F4E75">
        <w:rPr>
          <w:rFonts w:ascii="Century" w:eastAsia="Times New Roman" w:hAnsi="Century" w:cs="Times New Roman"/>
          <w:sz w:val="28"/>
          <w:szCs w:val="28"/>
          <w:lang w:val="uk-UA" w:eastAsia="uk-UA"/>
        </w:rPr>
        <w:t>к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ої міської ради та  її виконавчих органів здійснюється в межах фонду преміювання, фонду оплати праці та економії фонду оплати праці.</w:t>
      </w:r>
    </w:p>
    <w:p w14:paraId="535A8635" w14:textId="77777777" w:rsidR="00217F0D" w:rsidRPr="00AB7B60" w:rsidRDefault="00217F0D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щомісячної премії встановлюється у відсотках до нарахованої заробітної плати</w:t>
      </w:r>
      <w:r w:rsidR="00EE4297"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 врахуванням посадового окладу, надбавки за ранг, вислуги років та інтенсивності</w:t>
      </w:r>
      <w:r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 фактично відпрацьований час.</w:t>
      </w:r>
    </w:p>
    <w:p w14:paraId="52DB7412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внеску, міському голові, працівникам апарату Городоцької міської ради та її виконавчих органів може бути виплачена одноразова премія за результатами роботи в поточному році за рахунок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утвореного фонду преміювання, економії фонду преміювання, економії фонду заробітної плати.</w:t>
      </w:r>
    </w:p>
    <w:p w14:paraId="4800C80E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Премія працівникам 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>виплачується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 їх особистого внеску в загальні результати роботи за підсумками роботи за поточний місяць.</w:t>
      </w:r>
    </w:p>
    <w:p w14:paraId="6107A20B" w14:textId="77777777" w:rsidR="00BF3EA2" w:rsidRDefault="00712C6C" w:rsidP="00B9143D">
      <w:pPr>
        <w:pStyle w:val="a6"/>
        <w:numPr>
          <w:ilvl w:val="1"/>
          <w:numId w:val="12"/>
        </w:numPr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 окремих випадках, при наявності фонду економії оплати праці, з нагоди ювілейних та святкових дат (Різдвяних свят, 50,60,65 років з дня народження), державних та професійних свят (День захисників та захисниць України, Міжнародний жіночий день, День місцевого самоврядування) з урахуванням особистого внеску працівникам може бути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виплачена одноразова премія в межах затвердженого фонду оплати праці у фіксованому розмірі (однаковому розмірі для всіх), визначеному міс</w:t>
      </w:r>
      <w:r w:rsidR="006E3DD5">
        <w:rPr>
          <w:rFonts w:ascii="Century" w:eastAsia="Times New Roman" w:hAnsi="Century" w:cs="Times New Roman"/>
          <w:sz w:val="28"/>
          <w:szCs w:val="28"/>
          <w:lang w:val="uk-UA" w:eastAsia="uk-UA"/>
        </w:rPr>
        <w:t>ь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ким головою або особою, яка виконує його повноваження, згідно з пропозиціями начальника відділу бухгалтерського обліку та господарського забезпечення.</w:t>
      </w:r>
    </w:p>
    <w:p w14:paraId="7CE05B7B" w14:textId="77777777" w:rsidR="00712C6C" w:rsidRPr="00BF3EA2" w:rsidRDefault="00712C6C" w:rsidP="00712C6C">
      <w:pPr>
        <w:pStyle w:val="a6"/>
        <w:ind w:left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6227592" w14:textId="77777777" w:rsidR="00BF3EA2" w:rsidRPr="00712C6C" w:rsidRDefault="00712C6C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Умови та п</w:t>
      </w:r>
      <w:r w:rsidR="00BF3EA2" w:rsidRPr="00712C6C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орядок визначення фонду преміювання.</w:t>
      </w:r>
    </w:p>
    <w:p w14:paraId="33052D7E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Фонд преміювання працівників 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68AF113D" w14:textId="77777777" w:rsidR="00BF3EA2" w:rsidRDefault="00F33714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місячної премії працівника міської ради залежить від його особистого внеску в загальний результат роботи міської ради та встановлюється працівнику за умови відсутності порушень норм чинного законодавства з урахуванням таких критеріїв:</w:t>
      </w:r>
    </w:p>
    <w:p w14:paraId="1F354287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бездоганне і вчасне виконання планів роботи, розпорядчих документів, протокольних рішень та завдань керівництва міської ради;</w:t>
      </w:r>
    </w:p>
    <w:p w14:paraId="59460810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проявлену ініціативу та креативність при виконанні посадових обов’язків; </w:t>
      </w:r>
    </w:p>
    <w:p w14:paraId="6EB0318A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своєчасний розгляд листів установ, організацій, звернень громадян, депутатських запитів та звернень, запитів на отримання публічної інформації тощо;</w:t>
      </w:r>
    </w:p>
    <w:p w14:paraId="78697244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якість виконання завдань, визначених положенням про структурний підрозділ, у якому працює посадовець, його посадовою особою, а також дорученнями  керівництва міської ради та безпосереднього керівника;</w:t>
      </w:r>
    </w:p>
    <w:p w14:paraId="005193B7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терміновість виконання завдань;</w:t>
      </w:r>
    </w:p>
    <w:p w14:paraId="549C9471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виконання додаткового обсягу завдань (участь у роботі комісій, робочих груп тощо);</w:t>
      </w:r>
    </w:p>
    <w:p w14:paraId="15F79F67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постійне вдосконалення організації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своїє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роботи і підвищення професійної кваліфікації.</w:t>
      </w:r>
    </w:p>
    <w:p w14:paraId="57AAE6F1" w14:textId="77777777" w:rsidR="00844EA3" w:rsidRDefault="00F33714" w:rsidP="00F33714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 результатами роботи за місяць для визначення розміру премій враховується також трудова дисципліна.</w:t>
      </w:r>
    </w:p>
    <w:p w14:paraId="526A920D" w14:textId="77777777" w:rsidR="00844EA3" w:rsidRDefault="00844EA3" w:rsidP="00F33714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При визначенні конкретних розмірів премії працівників враховується нарахована заробітна плата за фактично відпрацьований час у кожному місяці.</w:t>
      </w:r>
    </w:p>
    <w:p w14:paraId="5D71E924" w14:textId="77777777" w:rsidR="00844EA3" w:rsidRDefault="0045716A" w:rsidP="00844EA3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2.5. </w:t>
      </w:r>
      <w:r w:rsidR="00844EA3">
        <w:rPr>
          <w:rFonts w:ascii="Century" w:eastAsia="Times New Roman" w:hAnsi="Century" w:cs="Times New Roman"/>
          <w:sz w:val="28"/>
          <w:szCs w:val="28"/>
          <w:lang w:val="uk-UA" w:eastAsia="uk-UA"/>
        </w:rPr>
        <w:t>Окремим працівникам розмір премії може бути збільшений із врахуванням їх професійної діяльності, особистого внеску у загальну роботу, а також за постійне виконання окремих додаткових завдань (функцій), передбачених вимогами законодавства Укр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>аїни</w:t>
      </w:r>
      <w:r w:rsidR="00844EA3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60A03E9" w14:textId="77777777" w:rsidR="00F33714" w:rsidRDefault="00844EA3" w:rsidP="00844EA3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2.6 Працівникам може бути зменшено розмір премії частково або повністю за невчасне (неналежне) виконання показників, зазначених у п.2.3. цього Положення.</w:t>
      </w:r>
      <w:r w:rsidR="00F33714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14:paraId="7944E8D1" w14:textId="77777777" w:rsidR="00F33714" w:rsidRDefault="00844EA3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2.7. Підставами для зменшення розміру премії також можуть бути:</w:t>
      </w:r>
    </w:p>
    <w:p w14:paraId="63A49EC6" w14:textId="77777777" w:rsidR="00844EA3" w:rsidRDefault="00E11BEF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порушення трудової дисципліни, Правил внутрішнього трудового розпорядку виконавчого апарату міської ради щодо організації використання робочого часу та режиму роботи;</w:t>
      </w:r>
    </w:p>
    <w:p w14:paraId="3D6BEDB8" w14:textId="77777777" w:rsidR="00E11BEF" w:rsidRDefault="00E11BEF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- застосування до працівника дисциплінарного стягнення у вигляді догани (премія не виплачується протягом дії дисциплінарного стягнення, якщо інше не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визначно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розпорядженням);</w:t>
      </w:r>
    </w:p>
    <w:p w14:paraId="708B72E0" w14:textId="77777777" w:rsidR="006E3DD5" w:rsidRDefault="006E3DD5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-порушення виконавської дисципліни в частині несвоєчасного надання інформації (відповіді) на документи, в яких визначено конкретні терміни виконання та інформування;</w:t>
      </w:r>
    </w:p>
    <w:p w14:paraId="30C2DCB5" w14:textId="77777777" w:rsidR="0093660D" w:rsidRDefault="006E3DD5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порушення термінів розгляду звернень громадян, депутатських запитів та звернень, запитів на отримання публічної інформації</w:t>
      </w:r>
      <w:r w:rsidR="0093660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щодо недотримання вимог щодо порядку їх підготовки;</w:t>
      </w:r>
    </w:p>
    <w:p w14:paraId="3E99E3CC" w14:textId="77777777" w:rsidR="0093660D" w:rsidRDefault="0093660D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невиконання без поважних причин обов’язків, передбачених посадовою інструкцією;</w:t>
      </w:r>
    </w:p>
    <w:p w14:paraId="30C4CCFF" w14:textId="77777777" w:rsidR="00E11BEF" w:rsidRPr="00844EA3" w:rsidRDefault="0093660D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за факти неналежного ставлення до громадян та порушення етики поведінки посадової особи місцевого самоврядування.</w:t>
      </w:r>
      <w:r w:rsidR="006E3DD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14:paraId="08F91BD8" w14:textId="77777777" w:rsidR="00BF3EA2" w:rsidRPr="00BF3EA2" w:rsidRDefault="00BF3EA2" w:rsidP="0093660D">
      <w:pPr>
        <w:pStyle w:val="a6"/>
        <w:numPr>
          <w:ilvl w:val="1"/>
          <w:numId w:val="14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Під час перебування працівників у відпустках, при втраті тимчасової непрацездатності, </w:t>
      </w:r>
      <w:proofErr w:type="spellStart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відрядженнях</w:t>
      </w:r>
      <w:proofErr w:type="spellEnd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премія нараховується за фактично відпрацьований час.</w:t>
      </w:r>
    </w:p>
    <w:p w14:paraId="57ADF2B4" w14:textId="77777777" w:rsidR="00BF3EA2" w:rsidRPr="00BF3EA2" w:rsidRDefault="00BF3EA2" w:rsidP="0093660D">
      <w:pPr>
        <w:pStyle w:val="a6"/>
        <w:numPr>
          <w:ilvl w:val="1"/>
          <w:numId w:val="14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4744B6F0" w14:textId="77777777" w:rsidR="00BF3EA2" w:rsidRPr="00BF3EA2" w:rsidRDefault="00BF3EA2" w:rsidP="0093660D">
      <w:pPr>
        <w:pStyle w:val="a6"/>
        <w:numPr>
          <w:ilvl w:val="1"/>
          <w:numId w:val="14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14:paraId="322ADCF8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16BF062" w14:textId="77777777" w:rsidR="00BF3EA2" w:rsidRPr="00BF3EA2" w:rsidRDefault="00BF3EA2" w:rsidP="0093660D">
      <w:pPr>
        <w:pStyle w:val="a6"/>
        <w:numPr>
          <w:ilvl w:val="1"/>
          <w:numId w:val="14"/>
        </w:num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Преміювання здійснюється:</w:t>
      </w:r>
    </w:p>
    <w:p w14:paraId="14F1B4B9" w14:textId="77777777" w:rsidR="00BF3EA2" w:rsidRPr="00BF3EA2" w:rsidRDefault="00B9143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-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Міського голови – на підставі рішення міської ради.</w:t>
      </w:r>
    </w:p>
    <w:p w14:paraId="17AEDDDF" w14:textId="77777777" w:rsidR="00BF3EA2" w:rsidRPr="00BF3EA2" w:rsidRDefault="00B9143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Секретаря, першого заступника міського голови, заступників міського голови, керуючого справами виконавчого комітету міської ради, старостів</w:t>
      </w:r>
      <w:r w:rsidR="0045716A">
        <w:rPr>
          <w:rFonts w:ascii="Century" w:eastAsia="Times New Roman" w:hAnsi="Century" w:cs="Times New Roman"/>
          <w:sz w:val="28"/>
          <w:szCs w:val="28"/>
          <w:lang w:val="uk-UA" w:eastAsia="uk-UA"/>
        </w:rPr>
        <w:t>,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начальників відділів, завідувачів секторів, головних та провідних спеціалістів та інших працівників міської ради – на підставі розпорядження міського голови.</w:t>
      </w:r>
    </w:p>
    <w:p w14:paraId="2A82847D" w14:textId="77777777" w:rsidR="00BF3EA2" w:rsidRPr="00BF3EA2" w:rsidRDefault="0093660D" w:rsidP="00B9143D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2.12.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Нарахування премії для працівників апарату міської ради та її виконавчих органів здійснює відділ бухгалтерського обліку та господарського забезпечення міської ради.</w:t>
      </w:r>
    </w:p>
    <w:p w14:paraId="6C216608" w14:textId="77777777" w:rsidR="00BF3EA2" w:rsidRDefault="0093660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2.13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 бухгалтерського обліку та господарського забезпечення міської ради щомісячно розраховує прогнозований фонд преміювання</w:t>
      </w:r>
      <w:r w:rsidR="00E03C70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14:paraId="58542AB4" w14:textId="77777777" w:rsidR="00B9143D" w:rsidRPr="00BF3EA2" w:rsidRDefault="00B9143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Керівники структурних підрозділ</w:t>
      </w:r>
      <w:r w:rsidR="00E03C70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ів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готують пропозиції щодо встановлення розміру місячної премії кожному працівнику та подають їх</w:t>
      </w:r>
      <w:r w:rsidR="00E03C70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погодження заступнику </w:t>
      </w:r>
      <w:r w:rsidR="006E4E09"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міського за напрямком роботи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2FF72783" w14:textId="77777777" w:rsidR="00BF3EA2" w:rsidRPr="00BF3EA2" w:rsidRDefault="0093660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2.14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.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щомісячної премії міському голові визначає сесія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37B3AA8D" w14:textId="77777777" w:rsidR="00BF3EA2" w:rsidRPr="00BF3EA2" w:rsidRDefault="0093660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2.15.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Виплата премії проводиться щомісячно у разі відсутності заборгованості за обов’язковими </w:t>
      </w:r>
      <w:proofErr w:type="spellStart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платежами</w:t>
      </w:r>
      <w:proofErr w:type="spellEnd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 межах затвердженого фонду оплати праці.</w:t>
      </w:r>
    </w:p>
    <w:p w14:paraId="02A2B486" w14:textId="77777777" w:rsidR="00BF3EA2" w:rsidRPr="00BF3EA2" w:rsidRDefault="0093660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2.16.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Максимальна межа премії для кожного працівника не встановлюється.</w:t>
      </w:r>
    </w:p>
    <w:p w14:paraId="36F42F3A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0C4A6E7" w14:textId="77777777" w:rsidR="00BF3EA2" w:rsidRPr="00BF3EA2" w:rsidRDefault="004D239B" w:rsidP="004D239B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 </w:t>
      </w:r>
      <w:r w:rsidRPr="004D23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Матеріальна допомога для вирішення соціально-побутових питань та допомога на оздоровлення</w:t>
      </w:r>
    </w:p>
    <w:p w14:paraId="2343CCCD" w14:textId="1F810A2E" w:rsidR="00BF3EA2" w:rsidRDefault="004D239B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3.1. Працівникам на підставі особистої заяви та згідно з розпорядженням міської ради надається допомога для оздоровлення при наданні щорічної відпустки 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>у розмірі, що не перевищує середньомісячної заробітної плати працівника в межах затвердженого фонду оплати</w:t>
      </w:r>
      <w:r w:rsidR="0045716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праці.</w:t>
      </w:r>
    </w:p>
    <w:p w14:paraId="7B14A8FD" w14:textId="7B12E8FC" w:rsidR="006E3DD5" w:rsidRDefault="006E3DD5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3.2. Працівникам на підставі особистої заяви та згідно з розпорядженням міської ради надається матеріальна допомога для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вирішення соціально-побутових питань у розмірі, що не перевищує середньомісячної заробітної плати працівника в межах затвердженого фонду оплати праці.</w:t>
      </w:r>
    </w:p>
    <w:p w14:paraId="62A3EDEA" w14:textId="77777777" w:rsidR="002C2ACB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5EB1B86" w14:textId="02A4EA8F" w:rsidR="002C2ACB" w:rsidRPr="00217F0D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Секретар міської ради                               </w:t>
      </w:r>
      <w:r w:rsidR="006E3DD5"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      Микола </w:t>
      </w:r>
      <w:r w:rsidR="008F4E75"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ЛУПІЙ       </w:t>
      </w:r>
    </w:p>
    <w:p w14:paraId="678BC4A3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8037CB3" w14:textId="77777777" w:rsidR="00E673B6" w:rsidRPr="00BF3EA2" w:rsidRDefault="00E673B6" w:rsidP="00BF3EA2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sz w:val="28"/>
          <w:szCs w:val="28"/>
          <w:lang w:val="uk-UA"/>
        </w:rPr>
      </w:pPr>
    </w:p>
    <w:sectPr w:rsidR="00E673B6" w:rsidRPr="00BF3EA2" w:rsidSect="002E4D5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multilevel"/>
    <w:tmpl w:val="19FEAD60"/>
    <w:lvl w:ilvl="0">
      <w:start w:val="1"/>
      <w:numFmt w:val="decimal"/>
      <w:lvlText w:val="%1."/>
      <w:lvlJc w:val="left"/>
      <w:pPr>
        <w:ind w:left="3782" w:hanging="123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F1868C3"/>
    <w:multiLevelType w:val="hybridMultilevel"/>
    <w:tmpl w:val="9CE45502"/>
    <w:lvl w:ilvl="0" w:tplc="CE08AB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3CA9652B"/>
    <w:multiLevelType w:val="multilevel"/>
    <w:tmpl w:val="E798327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4BB52734"/>
    <w:multiLevelType w:val="hybridMultilevel"/>
    <w:tmpl w:val="7ACE99A2"/>
    <w:lvl w:ilvl="0" w:tplc="FE64FEC6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800532949">
    <w:abstractNumId w:val="2"/>
  </w:num>
  <w:num w:numId="2" w16cid:durableId="20418542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6755699">
    <w:abstractNumId w:val="6"/>
  </w:num>
  <w:num w:numId="4" w16cid:durableId="1867865803">
    <w:abstractNumId w:val="13"/>
  </w:num>
  <w:num w:numId="5" w16cid:durableId="980111211">
    <w:abstractNumId w:val="3"/>
  </w:num>
  <w:num w:numId="6" w16cid:durableId="1679304864">
    <w:abstractNumId w:val="1"/>
  </w:num>
  <w:num w:numId="7" w16cid:durableId="2053384606">
    <w:abstractNumId w:val="9"/>
  </w:num>
  <w:num w:numId="8" w16cid:durableId="115948345">
    <w:abstractNumId w:val="11"/>
  </w:num>
  <w:num w:numId="9" w16cid:durableId="1074278650">
    <w:abstractNumId w:val="0"/>
  </w:num>
  <w:num w:numId="10" w16cid:durableId="1451827415">
    <w:abstractNumId w:val="4"/>
  </w:num>
  <w:num w:numId="11" w16cid:durableId="1553882014">
    <w:abstractNumId w:val="5"/>
  </w:num>
  <w:num w:numId="12" w16cid:durableId="805781407">
    <w:abstractNumId w:val="7"/>
  </w:num>
  <w:num w:numId="13" w16cid:durableId="1782795682">
    <w:abstractNumId w:val="10"/>
  </w:num>
  <w:num w:numId="14" w16cid:durableId="19457674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CF"/>
    <w:rsid w:val="00001028"/>
    <w:rsid w:val="00004E22"/>
    <w:rsid w:val="000E40D6"/>
    <w:rsid w:val="000E4B8C"/>
    <w:rsid w:val="001247FA"/>
    <w:rsid w:val="001A083A"/>
    <w:rsid w:val="001B46B8"/>
    <w:rsid w:val="001E0D2E"/>
    <w:rsid w:val="00217F0D"/>
    <w:rsid w:val="00232419"/>
    <w:rsid w:val="002710C3"/>
    <w:rsid w:val="002A4306"/>
    <w:rsid w:val="002C2ACB"/>
    <w:rsid w:val="002E4D5C"/>
    <w:rsid w:val="003B5533"/>
    <w:rsid w:val="003D1EB9"/>
    <w:rsid w:val="003F157C"/>
    <w:rsid w:val="004204AE"/>
    <w:rsid w:val="0045716A"/>
    <w:rsid w:val="00483905"/>
    <w:rsid w:val="004D239B"/>
    <w:rsid w:val="0050626A"/>
    <w:rsid w:val="00533340"/>
    <w:rsid w:val="00553810"/>
    <w:rsid w:val="005F1784"/>
    <w:rsid w:val="006217FC"/>
    <w:rsid w:val="006224D9"/>
    <w:rsid w:val="006E3DD5"/>
    <w:rsid w:val="006E4E09"/>
    <w:rsid w:val="006F115E"/>
    <w:rsid w:val="00712C6C"/>
    <w:rsid w:val="00724857"/>
    <w:rsid w:val="007309A3"/>
    <w:rsid w:val="0078793A"/>
    <w:rsid w:val="0079068E"/>
    <w:rsid w:val="00820632"/>
    <w:rsid w:val="00844EA3"/>
    <w:rsid w:val="008900D1"/>
    <w:rsid w:val="008F4E75"/>
    <w:rsid w:val="00912D53"/>
    <w:rsid w:val="00913528"/>
    <w:rsid w:val="0093660D"/>
    <w:rsid w:val="009B07B0"/>
    <w:rsid w:val="009E6B81"/>
    <w:rsid w:val="00A358D0"/>
    <w:rsid w:val="00AB7B60"/>
    <w:rsid w:val="00AC4AD6"/>
    <w:rsid w:val="00AC5CAF"/>
    <w:rsid w:val="00B20AA8"/>
    <w:rsid w:val="00B9143D"/>
    <w:rsid w:val="00BF3EA2"/>
    <w:rsid w:val="00C3240B"/>
    <w:rsid w:val="00CD322B"/>
    <w:rsid w:val="00CE1BBF"/>
    <w:rsid w:val="00CF03CF"/>
    <w:rsid w:val="00D44455"/>
    <w:rsid w:val="00DA7C20"/>
    <w:rsid w:val="00DB57F0"/>
    <w:rsid w:val="00DE0E64"/>
    <w:rsid w:val="00E03C70"/>
    <w:rsid w:val="00E11BEF"/>
    <w:rsid w:val="00E673B6"/>
    <w:rsid w:val="00E95D83"/>
    <w:rsid w:val="00EE4297"/>
    <w:rsid w:val="00F33714"/>
    <w:rsid w:val="00F370A7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E8E8"/>
  <w15:docId w15:val="{C61369C3-B08E-4571-B5E8-FAF81E5F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  <w:style w:type="paragraph" w:customStyle="1" w:styleId="aa">
    <w:name w:val="Додаток"/>
    <w:rsid w:val="00A358D0"/>
    <w:pPr>
      <w:spacing w:after="160" w:line="259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94EB3-2BA5-4ACD-9373-BDDFDB53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6214</Words>
  <Characters>3542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2024-01-19T07:40:00Z</cp:lastPrinted>
  <dcterms:created xsi:type="dcterms:W3CDTF">2024-02-05T11:21:00Z</dcterms:created>
  <dcterms:modified xsi:type="dcterms:W3CDTF">2024-02-05T11:21:00Z</dcterms:modified>
</cp:coreProperties>
</file>