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старостинського округу </w:t>
      </w:r>
      <w:r w:rsidR="00A439AA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F67E6E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Виздрика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щодо видалення аварійних дерев на території адміністративного будинку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старостинського округу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DE239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DE2398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комунальне господарство» 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DE2398">
        <w:rPr>
          <w:rFonts w:ascii="Times New Roman" w:hAnsi="Times New Roman" w:cs="Times New Roman"/>
          <w:sz w:val="28"/>
          <w:szCs w:val="28"/>
        </w:rPr>
        <w:t xml:space="preserve"> на</w:t>
      </w:r>
      <w:r w:rsidR="00F170CD" w:rsidRPr="00DE2398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одного дерева (</w:t>
      </w:r>
      <w:r w:rsidR="00F67E6E">
        <w:rPr>
          <w:rFonts w:ascii="Times New Roman" w:hAnsi="Times New Roman" w:cs="Times New Roman"/>
          <w:sz w:val="28"/>
          <w:szCs w:val="28"/>
        </w:rPr>
        <w:t>туя</w:t>
      </w:r>
      <w:r w:rsidR="00FB4C67" w:rsidRPr="00DE2398">
        <w:rPr>
          <w:rFonts w:ascii="Times New Roman" w:hAnsi="Times New Roman" w:cs="Times New Roman"/>
          <w:sz w:val="28"/>
          <w:szCs w:val="28"/>
        </w:rPr>
        <w:t>)</w:t>
      </w:r>
      <w:r w:rsidR="00F67E6E">
        <w:rPr>
          <w:rFonts w:ascii="Times New Roman" w:hAnsi="Times New Roman" w:cs="Times New Roman"/>
          <w:sz w:val="28"/>
          <w:szCs w:val="28"/>
        </w:rPr>
        <w:t>, одного дерева (модрина)</w:t>
      </w:r>
      <w:r w:rsidR="00A439AA">
        <w:rPr>
          <w:rFonts w:ascii="Times New Roman" w:hAnsi="Times New Roman" w:cs="Times New Roman"/>
          <w:sz w:val="28"/>
          <w:szCs w:val="28"/>
        </w:rPr>
        <w:t>, одного дерева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439AA">
        <w:rPr>
          <w:rFonts w:ascii="Times New Roman" w:hAnsi="Times New Roman" w:cs="Times New Roman"/>
          <w:sz w:val="28"/>
          <w:szCs w:val="28"/>
        </w:rPr>
        <w:t>(ялина) та чотирьох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дерев (</w:t>
      </w:r>
      <w:r w:rsidR="00A439AA">
        <w:rPr>
          <w:rFonts w:ascii="Times New Roman" w:hAnsi="Times New Roman" w:cs="Times New Roman"/>
          <w:sz w:val="28"/>
          <w:szCs w:val="28"/>
        </w:rPr>
        <w:t>липа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) </w:t>
      </w:r>
      <w:r w:rsidR="00A439AA">
        <w:rPr>
          <w:rFonts w:ascii="Times New Roman" w:hAnsi="Times New Roman" w:cs="Times New Roman"/>
          <w:sz w:val="28"/>
          <w:szCs w:val="28"/>
        </w:rPr>
        <w:t xml:space="preserve">на території адміністративного будинку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A439AA">
        <w:rPr>
          <w:rFonts w:ascii="Times New Roman" w:hAnsi="Times New Roman" w:cs="Times New Roman"/>
          <w:sz w:val="28"/>
          <w:szCs w:val="28"/>
        </w:rPr>
        <w:t xml:space="preserve"> старостинського округу</w:t>
      </w:r>
      <w:r w:rsidR="00A439AA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439AA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Заверешиці</w:t>
      </w:r>
      <w:proofErr w:type="spellEnd"/>
      <w:r w:rsidR="00A439AA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8D5A4B" w:rsidRPr="00DE2398">
        <w:rPr>
          <w:rFonts w:ascii="Times New Roman" w:hAnsi="Times New Roman" w:cs="Times New Roman"/>
          <w:sz w:val="28"/>
          <w:szCs w:val="28"/>
        </w:rPr>
        <w:t>.</w:t>
      </w:r>
    </w:p>
    <w:p w:rsidR="00B00190" w:rsidRPr="00DE2398" w:rsidRDefault="00FB4C67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 Міське комунальне господарство » </w:t>
      </w:r>
      <w:r w:rsidR="008D5A4B" w:rsidRPr="00DE2398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DE23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E239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DE2398">
        <w:rPr>
          <w:rFonts w:ascii="Times New Roman" w:hAnsi="Times New Roman" w:cs="Times New Roman"/>
          <w:sz w:val="28"/>
          <w:szCs w:val="28"/>
        </w:rPr>
        <w:t>і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>
        <w:rPr>
          <w:rFonts w:ascii="Times New Roman" w:hAnsi="Times New Roman" w:cs="Times New Roman"/>
          <w:sz w:val="28"/>
          <w:szCs w:val="28"/>
        </w:rPr>
        <w:t>а</w:t>
      </w:r>
      <w:r w:rsidR="00360A25" w:rsidRPr="00DE239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комунального підприємства «Міське комунальне 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bookmarkStart w:id="0" w:name="_GoBack"/>
      <w:bookmarkEnd w:id="0"/>
      <w:r w:rsidRPr="00DE2398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DE239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DE2398">
        <w:rPr>
          <w:rFonts w:ascii="Times New Roman" w:hAnsi="Times New Roman" w:cs="Times New Roman"/>
          <w:sz w:val="28"/>
          <w:szCs w:val="28"/>
        </w:rPr>
        <w:t xml:space="preserve">№ 51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  <w:r w:rsidRPr="00DE239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24592D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24592D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67E6E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104630"/>
    <w:rsid w:val="0014092D"/>
    <w:rsid w:val="00154012"/>
    <w:rsid w:val="001B1EFA"/>
    <w:rsid w:val="001F3746"/>
    <w:rsid w:val="001F555D"/>
    <w:rsid w:val="00241466"/>
    <w:rsid w:val="0024592D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B23E1"/>
    <w:rsid w:val="008B6618"/>
    <w:rsid w:val="008D5A4B"/>
    <w:rsid w:val="008F149C"/>
    <w:rsid w:val="009371A8"/>
    <w:rsid w:val="00971093"/>
    <w:rsid w:val="009956C0"/>
    <w:rsid w:val="00A439AA"/>
    <w:rsid w:val="00AA380E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BE31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Степаняк</cp:lastModifiedBy>
  <cp:revision>5</cp:revision>
  <cp:lastPrinted>2023-11-27T13:48:00Z</cp:lastPrinted>
  <dcterms:created xsi:type="dcterms:W3CDTF">2023-07-21T06:24:00Z</dcterms:created>
  <dcterms:modified xsi:type="dcterms:W3CDTF">2023-11-27T13:49:00Z</dcterms:modified>
</cp:coreProperties>
</file>